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rPr>
          <w:rFonts w:ascii="Times New Roman" w:hAnsi="Times New Roman" w:eastAsia="Times New Roman" w:cs="Times New Roman"/>
          <w:sz w:val="24"/>
          <w:szCs w:val="24"/>
        </w:rPr>
      </w:pPr>
      <w:bookmarkStart w:id="0" w:name="bookmark0"/>
      <w:r>
        <w:rPr>
          <w:rFonts w:ascii="Times New Roman" w:hAnsi="Times New Roman" w:eastAsia="Times New Roman" w:cs="Times New Roman"/>
          <w:b/>
          <w:bCs/>
          <w:i/>
          <w:color w:val="C00000"/>
          <w:sz w:val="28"/>
          <w:szCs w:val="28"/>
        </w:rPr>
        <w:t>ПАМЯТКА:</w:t>
      </w:r>
    </w:p>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i/>
          <w:color w:val="C00000"/>
          <w:sz w:val="28"/>
          <w:szCs w:val="28"/>
        </w:rPr>
        <w:t xml:space="preserve"> Профилактике экстремизма в молодежной среде – каждодневное внимание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Молодежь наиболее подвержена экстремистским проявлениям.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Экстремизм становится, как правило, последней ступенью к возникновению терроризма.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u w:val="single"/>
        </w:rPr>
        <w:t>Экстремизм</w:t>
      </w:r>
      <w:r>
        <w:rPr>
          <w:rFonts w:ascii="Times New Roman" w:hAnsi="Times New Roman" w:eastAsia="Times New Roman" w:cs="Times New Roman"/>
          <w:sz w:val="24"/>
          <w:szCs w:val="24"/>
        </w:rPr>
        <w:t xml:space="preserve"> (от фр. exremisme,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Одной из форм проявления экстремизма является распространение фашистской и неонацистской символики.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Экстремизм, как правило, в своей основе имеет определенную идеологию.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целях профилактики экстремизма в молодёжной среде </w:t>
      </w:r>
      <w:r>
        <w:rPr>
          <w:rFonts w:ascii="Times New Roman" w:hAnsi="Times New Roman" w:eastAsia="Times New Roman" w:cs="Times New Roman"/>
          <w:sz w:val="24"/>
          <w:szCs w:val="24"/>
          <w:u w:val="single"/>
        </w:rPr>
        <w:t>следует различать группировки экстремистской направленности от неформальных молодёжных объединений.</w:t>
      </w:r>
      <w:r>
        <w:rPr>
          <w:rFonts w:ascii="Times New Roman" w:hAnsi="Times New Roman" w:eastAsia="Times New Roman" w:cs="Times New Roman"/>
          <w:sz w:val="24"/>
          <w:szCs w:val="24"/>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 осуществление экстремистской деятельности граждане Российской Федерации, иностранные граждане и лица без гражданства несут: </w:t>
      </w:r>
      <w:r>
        <w:rPr>
          <w:rFonts w:ascii="Times New Roman" w:hAnsi="Times New Roman" w:eastAsia="Times New Roman" w:cs="Times New Roman"/>
          <w:sz w:val="24"/>
          <w:szCs w:val="24"/>
          <w:u w:val="single"/>
        </w:rPr>
        <w:t>уголовную, административную, гражданско-правовую ответственность в установленном законодательством РФ порядке.</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 влияют на формирование толерантного сознания молодежи.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этом следует больше внимания уделять профессионально-деятельностному и социокультурному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разногранности.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i/>
          <w:color w:val="C00000"/>
          <w:sz w:val="24"/>
          <w:szCs w:val="24"/>
        </w:rPr>
        <w:t>Будущее мира за новыми поколениями. Так давайте сделаем, чтоб этот мир был полон тепла и любви. Это отчасти в наших руках! В руках каждого!</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bookmarkEnd w:id="0"/>
    <w:p>
      <w:pPr>
        <w:keepNext/>
        <w:keepLines/>
        <w:spacing w:after="7" w:line="250" w:lineRule="exact"/>
        <w:ind w:left="3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100" w:beforeAutospacing="1" w:after="100" w:afterAutospacing="1" w:line="240" w:lineRule="auto"/>
        <w:ind w:left="567"/>
        <w:outlineLvl w:val="0"/>
        <w:rPr>
          <w:rFonts w:ascii="Times New Roman" w:hAnsi="Times New Roman" w:eastAsia="Times New Roman" w:cs="Times New Roman"/>
          <w:sz w:val="24"/>
          <w:szCs w:val="24"/>
        </w:rPr>
      </w:pPr>
      <w:r>
        <w:rPr>
          <w:rFonts w:ascii="Times New Roman" w:hAnsi="Times New Roman" w:eastAsia="Times New Roman" w:cs="Times New Roman"/>
          <w:b/>
          <w:bCs/>
          <w:i/>
          <w:color w:val="C00000"/>
          <w:kern w:val="36"/>
          <w:sz w:val="40"/>
          <w:szCs w:val="40"/>
        </w:rPr>
        <w:t xml:space="preserve">                                                    </w:t>
      </w:r>
      <w:r>
        <w:rPr>
          <w:rFonts w:ascii="Times New Roman" w:hAnsi="Times New Roman" w:eastAsia="Times New Roman" w:cs="Times New Roman"/>
          <w:b/>
          <w:bCs/>
          <w:i/>
          <w:color w:val="C00000"/>
          <w:kern w:val="36"/>
          <w:sz w:val="40"/>
          <w:szCs w:val="40"/>
          <w:u w:val="single"/>
        </w:rPr>
        <w:t>Профилактика  экстремизма  в  молодежной  среде</w:t>
      </w:r>
    </w:p>
    <w:p>
      <w:pPr>
        <w:spacing w:before="100" w:beforeAutospacing="1" w:after="100" w:afterAutospacing="1" w:line="240" w:lineRule="auto"/>
        <w:ind w:left="567"/>
        <w:jc w:val="center"/>
        <w:rPr>
          <w:rFonts w:ascii="Times New Roman" w:hAnsi="Times New Roman" w:eastAsia="Times New Roman" w:cs="Times New Roman"/>
          <w:sz w:val="24"/>
          <w:szCs w:val="24"/>
        </w:rPr>
      </w:pPr>
      <w:bookmarkStart w:id="1" w:name="_Toc293687635"/>
      <w:r>
        <w:rPr>
          <w:rFonts w:ascii="Times New Roman" w:hAnsi="Times New Roman" w:eastAsia="Times New Roman" w:cs="Times New Roman"/>
          <w:b/>
          <w:color w:val="002060"/>
          <w:sz w:val="28"/>
          <w:szCs w:val="28"/>
        </w:rPr>
        <w:t>Понятие  «экстремизм</w:t>
      </w:r>
      <w:bookmarkEnd w:id="1"/>
      <w:r>
        <w:rPr>
          <w:rFonts w:ascii="Times New Roman" w:hAnsi="Times New Roman" w:eastAsia="Times New Roman" w:cs="Times New Roman"/>
          <w:b/>
          <w:color w:val="002060"/>
          <w:sz w:val="28"/>
          <w:szCs w:val="28"/>
        </w:rPr>
        <w:t>»</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насильственное изменение основ конституционного строя и нарушение целостности Российской Федерации;</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публичное оправдание терроризма и иная террористическая деятельность;</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возбуждение социальной, расовой, национальной или религиозной розни;</w:t>
      </w:r>
      <w:bookmarkStart w:id="2" w:name="1014"/>
      <w:bookmarkEnd w:id="2"/>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организация и подготовка указанных деяний, а также подстрекательство к их осуществлению;</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spacing w:after="0" w:line="240" w:lineRule="auto"/>
        <w:ind w:left="567"/>
        <w:jc w:val="both"/>
        <w:rPr>
          <w:rFonts w:ascii="Times New Roman" w:hAnsi="Times New Roman" w:eastAsia="Times New Roman" w:cs="Times New Roman"/>
          <w:sz w:val="24"/>
          <w:szCs w:val="24"/>
        </w:rPr>
      </w:pPr>
      <w:bookmarkStart w:id="4" w:name="103"/>
      <w:bookmarkEnd w:id="4"/>
      <w:bookmarkStart w:id="5" w:name="102"/>
      <w:bookmarkEnd w:id="5"/>
      <w:r>
        <w:rPr>
          <w:rFonts w:ascii="Times New Roman" w:hAnsi="Times New Roman" w:eastAsia="Times New Roman" w:cs="Times New Roman"/>
          <w:color w:val="002060"/>
          <w:sz w:val="24"/>
          <w:szCs w:val="24"/>
        </w:rPr>
        <w:t>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свастическим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неоязыческим символом на данный момент, это не совсем верно, так как этот знак скорее являл собой не идольное значение, а очевидно был знаменем доброты и добра.</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pPr>
        <w:spacing w:before="100" w:beforeAutospacing="1" w:after="100" w:afterAutospacing="1" w:line="240" w:lineRule="auto"/>
        <w:ind w:left="567"/>
        <w:jc w:val="center"/>
        <w:rPr>
          <w:rFonts w:ascii="Times New Roman" w:hAnsi="Times New Roman" w:eastAsia="Times New Roman" w:cs="Times New Roman"/>
          <w:sz w:val="24"/>
          <w:szCs w:val="24"/>
        </w:rPr>
      </w:pPr>
      <w:r>
        <w:rPr>
          <w:rFonts w:ascii="Times New Roman" w:hAnsi="Times New Roman" w:eastAsia="Times New Roman" w:cs="Times New Roman"/>
          <w:b/>
          <w:color w:val="002060"/>
          <w:sz w:val="28"/>
          <w:szCs w:val="28"/>
        </w:rPr>
        <w:t>Профилактика экстремизма в педагогическом процессе</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Исходя из этого, вытекают следующие направления в работе по профилактики экстремизма и терроризма в образовательном процессе:</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анализ философской, исторической, социокультурной стороны процессов, которые происходят в сфере молодежной культуры;</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необходимые государству и обществу научно-обоснованные практические рекомендации по профилактики экстремизма и терроризма;</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профилактическая работа по противодействию проявлениям экстремизма в молодежной среде;</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совершенствование системы культурно-досуговой деятельности подрастающего поколения;</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увеличение доступных для значительной части молодежи культурных благ;</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консолидация и творческая реализация личности в среде сверстников;</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усиление профессиональной подготовки молодёжи, способной к реализации жизненных перспектив;</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учет профессиональной подготовки молодежи в системе профилактических мер по противодействию экстремизму в молодёжной среде;</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реализация потребности личности в самоопределении, культуре межнациональном общении.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 Работа по профилактике экстремизма,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center"/>
        <w:rPr>
          <w:rFonts w:ascii="Times New Roman" w:hAnsi="Times New Roman" w:eastAsia="Times New Roman" w:cs="Times New Roman"/>
          <w:sz w:val="24"/>
          <w:szCs w:val="24"/>
        </w:rPr>
      </w:pPr>
      <w:bookmarkStart w:id="6" w:name="_Toc293687639"/>
      <w:r>
        <w:rPr>
          <w:rFonts w:ascii="Times New Roman" w:hAnsi="Times New Roman" w:eastAsia="Times New Roman" w:cs="Times New Roman"/>
          <w:b/>
          <w:color w:val="002060"/>
          <w:sz w:val="28"/>
          <w:szCs w:val="28"/>
        </w:rPr>
        <w:t>Социальный портрет экстремистов как социальной группы</w:t>
      </w:r>
      <w:bookmarkEnd w:id="6"/>
    </w:p>
    <w:p>
      <w:pPr>
        <w:spacing w:after="0" w:line="240" w:lineRule="auto"/>
        <w:ind w:left="567"/>
        <w:jc w:val="center"/>
        <w:rPr>
          <w:rFonts w:ascii="Times New Roman" w:hAnsi="Times New Roman" w:eastAsia="Times New Roman" w:cs="Times New Roman"/>
          <w:sz w:val="24"/>
          <w:szCs w:val="24"/>
        </w:rPr>
      </w:pPr>
      <w:r>
        <w:rPr>
          <w:rFonts w:ascii="Times New Roman" w:hAnsi="Times New Roman" w:eastAsia="Times New Roman" w:cs="Times New Roman"/>
          <w:color w:val="002060"/>
          <w:sz w:val="28"/>
          <w:szCs w:val="28"/>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Профилактическую деятельность по предотвращению появления экстремистских настроений можно классифицировать на два типа:</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работа с подростками и молодежью, у которых еще не появились экстремистские наклонности;</w:t>
      </w:r>
    </w:p>
    <w:p>
      <w:pPr>
        <w:spacing w:after="0" w:line="240" w:lineRule="auto"/>
        <w:ind w:left="567"/>
        <w:contextualSpacing/>
        <w:jc w:val="both"/>
        <w:rPr>
          <w:rFonts w:ascii="Times New Roman" w:hAnsi="Times New Roman" w:eastAsia="Times New Roman" w:cs="Times New Roman"/>
          <w:sz w:val="24"/>
          <w:szCs w:val="24"/>
        </w:rPr>
      </w:pPr>
      <w:r>
        <w:rPr>
          <w:rFonts w:ascii="Symbol" w:hAnsi="Symbol" w:eastAsia="Symbol" w:cs="Symbol"/>
          <w:color w:val="002060"/>
          <w:sz w:val="24"/>
          <w:szCs w:val="24"/>
        </w:rPr>
        <w:t></w:t>
      </w:r>
      <w:r>
        <w:rPr>
          <w:rFonts w:ascii="Times New Roman" w:hAnsi="Times New Roman" w:eastAsia="Symbol" w:cs="Times New Roman"/>
          <w:color w:val="002060"/>
          <w:sz w:val="14"/>
          <w:szCs w:val="14"/>
        </w:rPr>
        <w:t xml:space="preserve"> </w:t>
      </w:r>
      <w:r>
        <w:rPr>
          <w:rFonts w:ascii="Times New Roman" w:hAnsi="Times New Roman" w:eastAsia="Times New Roman" w:cs="Times New Roman"/>
          <w:color w:val="002060"/>
          <w:sz w:val="24"/>
          <w:szCs w:val="24"/>
        </w:rPr>
        <w:t>работа с подростками и молодежью, у которых уже сформировалось экстремистское мировоззрение.</w:t>
      </w:r>
    </w:p>
    <w:p>
      <w:pPr>
        <w:spacing w:after="0" w:line="240" w:lineRule="auto"/>
        <w:ind w:left="567"/>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Рассмотрим подростков, у которых уже сформировалось экстремистские взгляды, как клиентов социальной работы.</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pPr>
        <w:spacing w:before="100" w:beforeAutospacing="1" w:after="100" w:afterAutospacing="1" w:line="240" w:lineRule="auto"/>
        <w:ind w:left="567"/>
        <w:jc w:val="center"/>
        <w:rPr>
          <w:rFonts w:ascii="Times New Roman" w:hAnsi="Times New Roman" w:eastAsia="Times New Roman" w:cs="Times New Roman"/>
          <w:sz w:val="24"/>
          <w:szCs w:val="24"/>
        </w:rPr>
      </w:pPr>
      <w:bookmarkStart w:id="7" w:name="_Toc293687640"/>
      <w:r>
        <w:rPr>
          <w:rFonts w:ascii="Times New Roman" w:hAnsi="Times New Roman" w:eastAsia="Times New Roman" w:cs="Times New Roman"/>
          <w:b/>
          <w:color w:val="002060"/>
          <w:sz w:val="28"/>
          <w:szCs w:val="28"/>
        </w:rPr>
        <w:t>Основные подходы к профилактике</w:t>
      </w:r>
      <w:bookmarkEnd w:id="7"/>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Органы государственной власти и местного самоуправления, противодействующие экстремистской деятельности, выступают в роли контрсубъекта, реагирующего на экстремистские действия.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Объективная логика становления контрсубъекта такова, что в первичной своей форме в силу неспециализированности он по уровню развития отстает от ведущего субъекта (в данном случае - субъекта экстремизма).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b/>
          <w:i/>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b/>
          <w:i/>
          <w:color w:val="002060"/>
          <w:sz w:val="24"/>
          <w:szCs w:val="24"/>
        </w:rPr>
        <w:t>В настоящее время существует пять основных психопрофилактических подходов к предупреждению проявлений экстремизма:</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b/>
          <w:i/>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u w:val="single"/>
        </w:rPr>
        <w:t>1.Подход, основанный на распространении информации об экстремизме и организациях экстремистского толка.</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самореализоваться молодой человек в настоящее время.</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u w:val="single"/>
        </w:rPr>
        <w:t>2.Подход, основанный на аффективном обучении.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интерперсональные факторы риска - низкую самооценку, неразвитую способность к сопереживанию (эмпатию).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xml:space="preserve">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color w:val="002060"/>
          <w:sz w:val="24"/>
          <w:szCs w:val="24"/>
          <w:u w:val="single"/>
        </w:rPr>
      </w:pP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u w:val="single"/>
        </w:rPr>
        <w:t>3.Подход, основанный на влиянии социальных факторов.</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Наиболее популярными среди таких программ являются тренинги устойчивости к социальному давлению. Одним из важных подходов в такого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антиэкстремистскую деятельность в своей школе, в своем районе.</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u w:val="single"/>
        </w:rPr>
        <w:t>4.Подход, основанный на формировании жизненных навыков.</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(Bandura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субкультурального жизненного стиля.</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 </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u w:val="single"/>
        </w:rPr>
        <w:t>5.Подход, основанный на развитии деятельности, альтернативной экстремистской.</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А. Кромин выделяет четыре варианта программ, основанных на деятельности, альтернативной экстремистской:</w:t>
      </w:r>
    </w:p>
    <w:p>
      <w:pPr>
        <w:tabs>
          <w:tab w:val="left" w:pos="426"/>
        </w:tabs>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1.</w:t>
      </w:r>
      <w:r>
        <w:rPr>
          <w:rFonts w:ascii="Times New Roman" w:hAnsi="Times New Roman" w:eastAsia="Times New Roman" w:cs="Times New Roman"/>
          <w:color w:val="002060"/>
          <w:sz w:val="14"/>
          <w:szCs w:val="14"/>
        </w:rPr>
        <w:t xml:space="preserve">                      </w:t>
      </w:r>
      <w:r>
        <w:rPr>
          <w:rFonts w:ascii="Times New Roman" w:hAnsi="Times New Roman" w:eastAsia="Times New Roman" w:cs="Times New Roman"/>
          <w:color w:val="002060"/>
          <w:sz w:val="24"/>
          <w:szCs w:val="24"/>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pPr>
        <w:tabs>
          <w:tab w:val="left" w:pos="426"/>
        </w:tabs>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2.</w:t>
      </w:r>
      <w:r>
        <w:rPr>
          <w:rFonts w:ascii="Times New Roman" w:hAnsi="Times New Roman" w:eastAsia="Times New Roman" w:cs="Times New Roman"/>
          <w:color w:val="002060"/>
          <w:sz w:val="14"/>
          <w:szCs w:val="14"/>
        </w:rPr>
        <w:t xml:space="preserve">                      </w:t>
      </w:r>
      <w:r>
        <w:rPr>
          <w:rFonts w:ascii="Times New Roman" w:hAnsi="Times New Roman" w:eastAsia="Times New Roman" w:cs="Times New Roman"/>
          <w:color w:val="002060"/>
          <w:sz w:val="24"/>
          <w:szCs w:val="24"/>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pPr>
        <w:tabs>
          <w:tab w:val="left" w:pos="426"/>
        </w:tabs>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3.</w:t>
      </w:r>
      <w:r>
        <w:rPr>
          <w:rFonts w:ascii="Times New Roman" w:hAnsi="Times New Roman" w:eastAsia="Times New Roman" w:cs="Times New Roman"/>
          <w:color w:val="002060"/>
          <w:sz w:val="14"/>
          <w:szCs w:val="14"/>
        </w:rPr>
        <w:t xml:space="preserve">                      </w:t>
      </w:r>
      <w:r>
        <w:rPr>
          <w:rFonts w:ascii="Times New Roman" w:hAnsi="Times New Roman" w:eastAsia="Times New Roman" w:cs="Times New Roman"/>
          <w:color w:val="002060"/>
          <w:sz w:val="24"/>
          <w:szCs w:val="24"/>
        </w:rPr>
        <w:t>Поощрение участия подростков во всех видах специфической активности (разнообразные хобби, клубы и т. д.).</w:t>
      </w:r>
    </w:p>
    <w:p>
      <w:pPr>
        <w:tabs>
          <w:tab w:val="left" w:pos="426"/>
        </w:tabs>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color w:val="002060"/>
          <w:sz w:val="24"/>
          <w:szCs w:val="24"/>
        </w:rPr>
        <w:t>4.</w:t>
      </w:r>
      <w:r>
        <w:rPr>
          <w:rFonts w:ascii="Times New Roman" w:hAnsi="Times New Roman" w:eastAsia="Times New Roman" w:cs="Times New Roman"/>
          <w:color w:val="002060"/>
          <w:sz w:val="14"/>
          <w:szCs w:val="14"/>
        </w:rPr>
        <w:t xml:space="preserve">                      </w:t>
      </w:r>
      <w:r>
        <w:rPr>
          <w:rFonts w:ascii="Times New Roman" w:hAnsi="Times New Roman" w:eastAsia="Times New Roman" w:cs="Times New Roman"/>
          <w:color w:val="002060"/>
          <w:sz w:val="24"/>
          <w:szCs w:val="24"/>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pPr>
        <w:keepNext/>
        <w:keepLines/>
        <w:spacing w:after="7" w:line="250" w:lineRule="exact"/>
        <w:ind w:left="3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100" w:beforeAutospacing="1" w:after="100" w:afterAutospacing="1" w:line="240" w:lineRule="auto"/>
        <w:ind w:firstLine="567"/>
        <w:jc w:val="center"/>
        <w:outlineLvl w:val="0"/>
        <w:rPr>
          <w:rFonts w:ascii="Times New Roman" w:hAnsi="Times New Roman" w:eastAsia="Times New Roman" w:cs="Times New Roman"/>
          <w:sz w:val="24"/>
          <w:szCs w:val="24"/>
        </w:rPr>
      </w:pPr>
      <w:r>
        <w:rPr>
          <w:rFonts w:ascii="Times New Roman" w:hAnsi="Times New Roman" w:eastAsia="Times New Roman" w:cs="Times New Roman"/>
          <w:b/>
          <w:sz w:val="23"/>
          <w:szCs w:val="23"/>
        </w:rPr>
        <w:t>Лингвистические проявления экстремизма</w:t>
      </w:r>
    </w:p>
    <w:p>
      <w:pPr>
        <w:spacing w:before="100" w:beforeAutospacing="1" w:after="100" w:afterAutospacing="1"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 </w:t>
      </w:r>
    </w:p>
    <w:p>
      <w:pPr>
        <w:spacing w:before="100" w:beforeAutospacing="1" w:after="100" w:afterAutospacing="1" w:line="240" w:lineRule="auto"/>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Открытые призывы к насилию</w:t>
      </w:r>
      <w:r>
        <w:rPr>
          <w:rFonts w:ascii="Times New Roman" w:hAnsi="Times New Roman" w:eastAsia="Times New Roman" w:cs="Times New Roman"/>
          <w:sz w:val="23"/>
          <w:szCs w:val="23"/>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жидов!», «Убивай хачиков!», «Смерть черным»);</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2.</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 xml:space="preserve">Открытые призывы к дискриминации, </w:t>
      </w:r>
      <w:r>
        <w:rPr>
          <w:rFonts w:ascii="Times New Roman" w:hAnsi="Times New Roman" w:eastAsia="Times New Roman" w:cs="Times New Roman"/>
          <w:sz w:val="23"/>
          <w:szCs w:val="23"/>
        </w:rPr>
        <w:t>в том числе в виде общих лозунгов;</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3.</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Завуалированные призывы к насилию и дискриминации</w:t>
      </w:r>
      <w:r>
        <w:rPr>
          <w:rFonts w:ascii="Times New Roman" w:hAnsi="Times New Roman" w:eastAsia="Times New Roman" w:cs="Times New Roman"/>
          <w:sz w:val="23"/>
          <w:szCs w:val="23"/>
        </w:rPr>
        <w:t xml:space="preserve">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4.</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Создание негативного образа этнической или религиозной группы</w:t>
      </w:r>
      <w:r>
        <w:rPr>
          <w:rFonts w:ascii="Times New Roman" w:hAnsi="Times New Roman" w:eastAsia="Times New Roman" w:cs="Times New Roman"/>
          <w:sz w:val="23"/>
          <w:szCs w:val="23"/>
        </w:rPr>
        <w:t xml:space="preserve"> (сопряжено не с конкретными обвинениями, а скорее передано тоном, контекстом текста);</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5.</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Оправдание и поощрение исторических случаев насилия и дискриминации</w:t>
      </w:r>
      <w:r>
        <w:rPr>
          <w:rFonts w:ascii="Times New Roman" w:hAnsi="Times New Roman" w:eastAsia="Times New Roman" w:cs="Times New Roman"/>
          <w:sz w:val="23"/>
          <w:szCs w:val="23"/>
        </w:rPr>
        <w:t xml:space="preserve"> (выражения типа «турки резали армян в 1915 году в порядке самообороны»);</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6.</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Публикации и высказывания, подвергающие сомнению общепризнанные исторические факты насилия и дискриминации</w:t>
      </w:r>
      <w:r>
        <w:rPr>
          <w:rFonts w:ascii="Times New Roman" w:hAnsi="Times New Roman" w:eastAsia="Times New Roman" w:cs="Times New Roman"/>
          <w:sz w:val="23"/>
          <w:szCs w:val="23"/>
        </w:rPr>
        <w:t xml:space="preserve"> (например, масштабы Холокоста преувеличены, «чеченцев выслали за то, что они перешли на сторону Гитлера»);</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7.</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Утверждения, заявления о неполноценности другой этнической или религиозной группы и ее представителях</w:t>
      </w:r>
      <w:r>
        <w:rPr>
          <w:rFonts w:ascii="Times New Roman" w:hAnsi="Times New Roman" w:eastAsia="Times New Roman" w:cs="Times New Roman"/>
          <w:sz w:val="23"/>
          <w:szCs w:val="23"/>
        </w:rPr>
        <w:t xml:space="preserve">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 и т.д.);</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8.</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Утверждения об исторических преступлениях той или иной этнической или религиозной группы как таковой</w:t>
      </w:r>
      <w:r>
        <w:rPr>
          <w:rFonts w:ascii="Times New Roman" w:hAnsi="Times New Roman" w:eastAsia="Times New Roman" w:cs="Times New Roman"/>
          <w:sz w:val="23"/>
          <w:szCs w:val="23"/>
        </w:rPr>
        <w:t xml:space="preserve"> (типа «мусульмане всегда распространяли свою веру огнем и мечом», «поляки всегда злоумышляли против русских»);</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9.</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Утверждения о криминальности той или иной этнической или религиозной группы</w:t>
      </w:r>
      <w:r>
        <w:rPr>
          <w:rFonts w:ascii="Times New Roman" w:hAnsi="Times New Roman" w:eastAsia="Times New Roman" w:cs="Times New Roman"/>
          <w:sz w:val="23"/>
          <w:szCs w:val="23"/>
        </w:rPr>
        <w:t xml:space="preserve"> (например, «цыгане – воры»);</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10.</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Утверждения о моральных недостатках той или иной этнической или религиозной группы</w:t>
      </w:r>
      <w:r>
        <w:rPr>
          <w:rFonts w:ascii="Times New Roman" w:hAnsi="Times New Roman" w:eastAsia="Times New Roman" w:cs="Times New Roman"/>
          <w:sz w:val="23"/>
          <w:szCs w:val="23"/>
        </w:rPr>
        <w:t xml:space="preserve"> («евреи корыстолюбивы», «цыгане – обманщики» – отличать от культурной или интеллектуальной неполноценности);</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11.</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Рассуждения о непропорциональном превосходстве</w:t>
      </w:r>
      <w:r>
        <w:rPr>
          <w:rFonts w:ascii="Times New Roman" w:hAnsi="Times New Roman" w:eastAsia="Times New Roman" w:cs="Times New Roman"/>
          <w:sz w:val="23"/>
          <w:szCs w:val="23"/>
        </w:rPr>
        <w:t xml:space="preserve"> той или иной этнической или религиозной группы в материальном достатке, представительстве во властных структурах, прессе и т.д.;</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12.</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Обвинения в негативном влиянии той или иной этнической или религиозной группы на общество, государство</w:t>
      </w:r>
      <w:r>
        <w:rPr>
          <w:rFonts w:ascii="Times New Roman" w:hAnsi="Times New Roman" w:eastAsia="Times New Roman" w:cs="Times New Roman"/>
          <w:sz w:val="23"/>
          <w:szCs w:val="23"/>
        </w:rPr>
        <w:t xml:space="preserve"> («размывание национальной идентичности», «инородцы превращают Москву в нерусский город», «мормоны подрывают нашу православную идентичность»);</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13.</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Упоминание этнической или религиозной группы или ее представителей как таковых в унизительном или оскорбительном контексте</w:t>
      </w:r>
      <w:r>
        <w:rPr>
          <w:rFonts w:ascii="Times New Roman" w:hAnsi="Times New Roman" w:eastAsia="Times New Roman" w:cs="Times New Roman"/>
          <w:sz w:val="23"/>
          <w:szCs w:val="23"/>
        </w:rPr>
        <w:t xml:space="preserve"> (в том числе в уголовной хронике или просто при упоминании этнонима);</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14.</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Призывы не допустить закрепления</w:t>
      </w:r>
      <w:r>
        <w:rPr>
          <w:rFonts w:ascii="Times New Roman" w:hAnsi="Times New Roman" w:eastAsia="Times New Roman" w:cs="Times New Roman"/>
          <w:sz w:val="23"/>
          <w:szCs w:val="23"/>
        </w:rPr>
        <w:t xml:space="preserve"> в регионе (районе, городе и т.д.) </w:t>
      </w:r>
      <w:r>
        <w:rPr>
          <w:rFonts w:ascii="Times New Roman" w:hAnsi="Times New Roman" w:eastAsia="Times New Roman" w:cs="Times New Roman"/>
          <w:b/>
          <w:i/>
          <w:sz w:val="23"/>
          <w:szCs w:val="23"/>
        </w:rPr>
        <w:t>мигрантов, принадлежащих к той или иной этнический или религиозной группе</w:t>
      </w:r>
      <w:r>
        <w:rPr>
          <w:rFonts w:ascii="Times New Roman" w:hAnsi="Times New Roman" w:eastAsia="Times New Roman" w:cs="Times New Roman"/>
          <w:sz w:val="23"/>
          <w:szCs w:val="23"/>
        </w:rPr>
        <w:t xml:space="preserve"> (например, протесты против строительства мечети в «православном городе»);</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15.</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Цитирование явно ксенофобных высказываний и текстов без комментария</w:t>
      </w:r>
      <w:r>
        <w:rPr>
          <w:rFonts w:ascii="Times New Roman" w:hAnsi="Times New Roman" w:eastAsia="Times New Roman" w:cs="Times New Roman"/>
          <w:sz w:val="23"/>
          <w:szCs w:val="23"/>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16.</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Обвинение группы в попытках захвата власти или в территориальной экспансии</w:t>
      </w:r>
      <w:r>
        <w:rPr>
          <w:rFonts w:ascii="Times New Roman" w:hAnsi="Times New Roman" w:eastAsia="Times New Roman" w:cs="Times New Roman"/>
          <w:sz w:val="23"/>
          <w:szCs w:val="23"/>
        </w:rPr>
        <w:t xml:space="preserve"> (в буквальном смысле, в отличие от призывов не допустить закрепления в регионе);</w:t>
      </w:r>
    </w:p>
    <w:p>
      <w:pPr>
        <w:spacing w:before="100" w:beforeAutospacing="1" w:after="100" w:afterAutospacing="1" w:line="240" w:lineRule="auto"/>
        <w:ind w:left="-567" w:firstLine="709"/>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17.</w:t>
      </w:r>
      <w:r>
        <w:rPr>
          <w:rFonts w:ascii="Times New Roman" w:hAnsi="Times New Roman" w:eastAsia="Times New Roman" w:cs="Times New Roman"/>
          <w:sz w:val="14"/>
          <w:szCs w:val="14"/>
        </w:rPr>
        <w:t xml:space="preserve">         </w:t>
      </w:r>
      <w:r>
        <w:rPr>
          <w:rFonts w:ascii="Times New Roman" w:hAnsi="Times New Roman" w:eastAsia="Times New Roman" w:cs="Times New Roman"/>
          <w:b/>
          <w:i/>
          <w:sz w:val="23"/>
          <w:szCs w:val="23"/>
        </w:rPr>
        <w:t>Отрицание гражданства</w:t>
      </w:r>
      <w:r>
        <w:rPr>
          <w:rFonts w:ascii="Times New Roman" w:hAnsi="Times New Roman" w:eastAsia="Times New Roman" w:cs="Times New Roman"/>
          <w:sz w:val="23"/>
          <w:szCs w:val="23"/>
        </w:rPr>
        <w:t xml:space="preserve"> (то есть упоминание российских граждан как иностранцев в зависимости от их этнической идентификации).</w:t>
      </w:r>
    </w:p>
    <w:p>
      <w:pPr>
        <w:spacing w:before="100" w:beforeAutospacing="1" w:after="100" w:afterAutospacing="1" w:line="240" w:lineRule="auto"/>
        <w:ind w:left="-567" w:firstLine="709"/>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 </w:t>
      </w:r>
    </w:p>
    <w:p>
      <w:pPr>
        <w:spacing w:before="100" w:beforeAutospacing="1" w:after="100" w:afterAutospacing="1" w:line="240" w:lineRule="auto"/>
        <w:ind w:left="-567" w:firstLine="709"/>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 </w:t>
      </w:r>
    </w:p>
    <w:p>
      <w:pPr>
        <w:spacing w:before="100" w:beforeAutospacing="1" w:after="100" w:afterAutospacing="1" w:line="240" w:lineRule="auto"/>
        <w:ind w:left="-567" w:firstLine="709"/>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МЕТОДИКА ВЫЯВЛЕНИЯ ЛИЦ, УЧАСТНИКОВ НЕФОРМАЛЬНЫХ МОЛОДЕЖНЫХ ОБЪЕДИНЕНИЙ</w:t>
      </w:r>
    </w:p>
    <w:p>
      <w:pPr>
        <w:adjustRightInd w:val="0"/>
        <w:spacing w:before="100" w:beforeAutospacing="1" w:after="100" w:afterAutospacing="1" w:line="240" w:lineRule="auto"/>
        <w:ind w:left="-709" w:firstLine="709"/>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Основные понятия:</w:t>
      </w:r>
    </w:p>
    <w:p>
      <w:pPr>
        <w:adjustRightInd w:val="0"/>
        <w:spacing w:before="100" w:beforeAutospacing="1" w:after="100" w:afterAutospacing="1" w:line="240" w:lineRule="auto"/>
        <w:ind w:left="-709" w:firstLine="709"/>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Неформальные объединения</w:t>
      </w:r>
      <w:r>
        <w:rPr>
          <w:rFonts w:ascii="Times New Roman" w:hAnsi="Times New Roman" w:eastAsia="Times New Roman" w:cs="Times New Roman"/>
          <w:sz w:val="23"/>
          <w:szCs w:val="23"/>
        </w:rPr>
        <w:t>: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ориентированных на свободное времяпрепровождение.</w:t>
      </w:r>
    </w:p>
    <w:p>
      <w:pPr>
        <w:adjustRightInd w:val="0"/>
        <w:spacing w:before="100" w:beforeAutospacing="1" w:after="100" w:afterAutospacing="1" w:line="240" w:lineRule="auto"/>
        <w:ind w:left="-709" w:firstLine="709"/>
        <w:jc w:val="both"/>
        <w:rPr>
          <w:rFonts w:ascii="Times New Roman" w:hAnsi="Times New Roman" w:eastAsia="Times New Roman" w:cs="Times New Roman"/>
          <w:sz w:val="24"/>
          <w:szCs w:val="24"/>
        </w:rPr>
      </w:pPr>
      <w:r>
        <w:rPr>
          <w:rFonts w:ascii="Times New Roman" w:hAnsi="Times New Roman" w:eastAsia="Times New Roman" w:cs="Times New Roman"/>
          <w:b/>
          <w:bCs/>
          <w:sz w:val="23"/>
          <w:szCs w:val="23"/>
        </w:rPr>
        <w:t>Неформальная молодежная субкультура</w:t>
      </w:r>
      <w:r>
        <w:rPr>
          <w:rFonts w:ascii="Times New Roman" w:hAnsi="Times New Roman" w:eastAsia="Times New Roman" w:cs="Times New Roman"/>
          <w:bCs/>
          <w:sz w:val="23"/>
          <w:szCs w:val="23"/>
        </w:rPr>
        <w:t xml:space="preserve"> ? это система символов, норм и ценностей и</w:t>
      </w:r>
    </w:p>
    <w:p>
      <w:pPr>
        <w:adjustRightInd w:val="0"/>
        <w:spacing w:before="100" w:beforeAutospacing="1" w:after="100" w:afterAutospacing="1" w:line="240" w:lineRule="auto"/>
        <w:ind w:left="-709"/>
        <w:jc w:val="both"/>
        <w:rPr>
          <w:rFonts w:ascii="Times New Roman" w:hAnsi="Times New Roman" w:eastAsia="Times New Roman" w:cs="Times New Roman"/>
          <w:sz w:val="24"/>
          <w:szCs w:val="24"/>
        </w:rPr>
      </w:pPr>
      <w:r>
        <w:rPr>
          <w:rFonts w:ascii="Times New Roman" w:hAnsi="Times New Roman" w:eastAsia="Times New Roman" w:cs="Times New Roman"/>
          <w:bCs/>
          <w:sz w:val="23"/>
          <w:szCs w:val="23"/>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Style w:val="7"/>
        <w:tblpPr w:leftFromText="180" w:rightFromText="180" w:vertAnchor="text" w:horzAnchor="page" w:tblpX="1013" w:tblpY="551"/>
        <w:tblOverlap w:val="neve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2324"/>
        <w:gridCol w:w="348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33"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bookmarkStart w:id="8" w:name="_GoBack"/>
            <w:bookmarkEnd w:id="8"/>
            <w:r>
              <w:rPr>
                <w:rFonts w:ascii="Times New Roman" w:hAnsi="Times New Roman" w:eastAsia="Times New Roman" w:cs="Times New Roman"/>
                <w:sz w:val="23"/>
                <w:szCs w:val="23"/>
              </w:rPr>
              <w:t> </w:t>
            </w:r>
          </w:p>
        </w:tc>
        <w:tc>
          <w:tcPr>
            <w:tcW w:w="232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 xml:space="preserve">Система выявления </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 xml:space="preserve">Этапы работы </w:t>
            </w:r>
          </w:p>
        </w:tc>
        <w:tc>
          <w:tcPr>
            <w:tcW w:w="348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Необходимые компетенции</w:t>
            </w:r>
          </w:p>
        </w:tc>
        <w:tc>
          <w:tcPr>
            <w:tcW w:w="382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Методическое обеспечение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1</w:t>
            </w:r>
          </w:p>
        </w:tc>
        <w:tc>
          <w:tcPr>
            <w:tcW w:w="232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3"/>
                <w:szCs w:val="23"/>
              </w:rPr>
              <w:t xml:space="preserve">Информационная составляющая </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 </w:t>
            </w:r>
          </w:p>
        </w:tc>
        <w:tc>
          <w:tcPr>
            <w:tcW w:w="348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3"/>
                <w:szCs w:val="23"/>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Различные информационные материалы на бумажных и электронных носителях. Курсы повышения квалификации.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2</w:t>
            </w:r>
          </w:p>
        </w:tc>
        <w:tc>
          <w:tcPr>
            <w:tcW w:w="232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3"/>
                <w:szCs w:val="23"/>
              </w:rPr>
              <w:t xml:space="preserve">Организация деятельности </w:t>
            </w:r>
          </w:p>
        </w:tc>
        <w:tc>
          <w:tcPr>
            <w:tcW w:w="348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3"/>
                <w:szCs w:val="23"/>
              </w:rPr>
              <w:t xml:space="preserve">Учет </w:t>
            </w:r>
            <w:r>
              <w:rPr>
                <w:rFonts w:ascii="Times New Roman" w:hAnsi="Times New Roman" w:eastAsia="Times New Roman" w:cs="Times New Roman"/>
                <w:sz w:val="23"/>
                <w:szCs w:val="23"/>
              </w:rPr>
              <w:t xml:space="preserve">полисистемного характера причин, способствующих вовлечению несовершеннолетних в правонарушения, </w:t>
            </w:r>
          </w:p>
        </w:tc>
        <w:tc>
          <w:tcPr>
            <w:tcW w:w="382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Планирование. Программно-целевой метод. Организация работы службы сопровождения.</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 xml:space="preserve">Исследовательская деятельность.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3</w:t>
            </w:r>
          </w:p>
        </w:tc>
        <w:tc>
          <w:tcPr>
            <w:tcW w:w="2324"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3"/>
                <w:szCs w:val="23"/>
              </w:rPr>
              <w:t>Деятельность</w:t>
            </w:r>
            <w:r>
              <w:rPr>
                <w:rFonts w:ascii="Times New Roman" w:hAnsi="Times New Roman" w:eastAsia="Times New Roman" w:cs="Times New Roman"/>
                <w:b/>
                <w:color w:val="000000"/>
                <w:sz w:val="23"/>
                <w:szCs w:val="23"/>
              </w:rPr>
              <w:t xml:space="preserve"> </w:t>
            </w:r>
            <w:r>
              <w:rPr>
                <w:rFonts w:ascii="Times New Roman" w:hAnsi="Times New Roman" w:eastAsia="Times New Roman" w:cs="Times New Roman"/>
                <w:color w:val="000000"/>
                <w:sz w:val="23"/>
                <w:szCs w:val="23"/>
              </w:rPr>
              <w:t>по изучению групп риска и выявлению членов НМО</w:t>
            </w:r>
          </w:p>
        </w:tc>
        <w:tc>
          <w:tcPr>
            <w:tcW w:w="348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Конкретные действия педагогов и специалистов в функциональные обязанности которых входит работа по выявлению групп риска.</w:t>
            </w:r>
          </w:p>
        </w:tc>
      </w:tr>
    </w:tbl>
    <w:p>
      <w:pPr>
        <w:spacing w:before="100" w:beforeAutospacing="1" w:after="100" w:afterAutospacing="1" w:line="240" w:lineRule="auto"/>
        <w:ind w:left="-709" w:firstLine="851"/>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 </w:t>
      </w:r>
    </w:p>
    <w:p>
      <w:pPr>
        <w:spacing w:before="100" w:beforeAutospacing="1" w:after="100" w:afterAutospacing="1" w:line="240" w:lineRule="auto"/>
        <w:ind w:left="-709" w:firstLine="851"/>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Примерные индикаторы для выявления подростков «группы риска», в том числе, принадлежащих к НМО – своевременное обращение внимания</w:t>
      </w:r>
    </w:p>
    <w:p>
      <w:pPr>
        <w:spacing w:before="100" w:beforeAutospacing="1" w:after="100" w:afterAutospacing="1" w:line="240" w:lineRule="auto"/>
        <w:ind w:left="-709" w:firstLine="851"/>
        <w:jc w:val="both"/>
        <w:rPr>
          <w:rFonts w:ascii="Times New Roman" w:hAnsi="Times New Roman" w:eastAsia="Times New Roman" w:cs="Times New Roman"/>
          <w:sz w:val="24"/>
          <w:szCs w:val="24"/>
        </w:rPr>
      </w:pPr>
      <w:r>
        <w:rPr>
          <w:rFonts w:ascii="Times New Roman" w:hAnsi="Times New Roman" w:eastAsia="Times New Roman" w:cs="Times New Roman"/>
          <w:b/>
          <w:sz w:val="23"/>
          <w:szCs w:val="23"/>
        </w:rPr>
        <w:t xml:space="preserve">специалистов на: </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Наличие у подростка серьезных поведенческих проблем (отказ от соблюдения установленных норм и правил, агрессивное поведение)</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Появление у подростков депрессивного состояния (замкнутость, «уход в себя», «эмоциональные всплески»</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Пропуски уроков и учебных дней без уважительных причин</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Употребление или предполагаемое употребление алкоголя или наркотических веществ</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Кризисная ситуация в семье</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Резкое ухудшение состояния здоровья</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Другие случаи, когда изменение социальных или иных условий представляет угрозу благополучию подростка</w:t>
      </w:r>
    </w:p>
    <w:p>
      <w:pPr>
        <w:spacing w:before="100" w:beforeAutospacing="1" w:after="100" w:afterAutospacing="1" w:line="240" w:lineRule="auto"/>
        <w:ind w:left="862" w:hanging="360"/>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Появление необычной атрибутики во внешнем виде</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3"/>
          <w:szCs w:val="23"/>
        </w:rPr>
        <w:t> </w:t>
      </w:r>
    </w:p>
    <w:p>
      <w:pPr>
        <w:spacing w:before="100" w:beforeAutospacing="1" w:after="100" w:afterAutospacing="1" w:line="240" w:lineRule="auto"/>
        <w:jc w:val="both"/>
        <w:outlineLvl w:val="0"/>
        <w:rPr>
          <w:rFonts w:ascii="Times New Roman" w:hAnsi="Times New Roman" w:eastAsia="Times New Roman" w:cs="Times New Roman"/>
          <w:sz w:val="24"/>
          <w:szCs w:val="24"/>
        </w:rPr>
      </w:pPr>
      <w:r>
        <w:rPr>
          <w:rFonts w:ascii="Times New Roman" w:hAnsi="Times New Roman" w:eastAsia="Times New Roman" w:cs="Times New Roman"/>
          <w:b/>
          <w:sz w:val="23"/>
          <w:szCs w:val="23"/>
        </w:rPr>
        <w:t>Способы получения необходимой информации:</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Анализ классных журналов</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Опрос мнения учителей о школьнике</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Анализ учета посещаемости занятий</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Анализ зафиксированных нарушений дисциплины</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Беседы с родителями ученика</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Социометрические исследования</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Наблюдения</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Symbol" w:hAnsi="Symbol" w:eastAsia="Symbol" w:cs="Symbol"/>
          <w:sz w:val="23"/>
          <w:szCs w:val="23"/>
        </w:rPr>
        <w:t></w:t>
      </w:r>
      <w:r>
        <w:rPr>
          <w:rFonts w:ascii="Times New Roman" w:hAnsi="Times New Roman" w:eastAsia="Symbol" w:cs="Times New Roman"/>
          <w:sz w:val="14"/>
          <w:szCs w:val="14"/>
        </w:rPr>
        <w:t xml:space="preserve">           </w:t>
      </w:r>
      <w:r>
        <w:rPr>
          <w:rFonts w:ascii="Times New Roman" w:hAnsi="Times New Roman" w:eastAsia="Times New Roman" w:cs="Times New Roman"/>
          <w:sz w:val="23"/>
          <w:szCs w:val="23"/>
        </w:rPr>
        <w:t>Беседы со школьником</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
          <w:bCs/>
          <w:sz w:val="27"/>
          <w:szCs w:val="27"/>
        </w:rPr>
        <w:t xml:space="preserve">  </w:t>
      </w:r>
    </w:p>
    <w:p>
      <w:pPr>
        <w:spacing w:before="100" w:beforeAutospacing="1" w:after="100" w:afterAutospacing="1" w:line="240" w:lineRule="auto"/>
        <w:ind w:left="780" w:hanging="360"/>
        <w:jc w:val="both"/>
        <w:rPr>
          <w:rFonts w:ascii="Times New Roman" w:hAnsi="Times New Roman" w:eastAsia="Times New Roman" w:cs="Times New Roman"/>
          <w:b/>
          <w:bCs/>
          <w:sz w:val="27"/>
          <w:szCs w:val="27"/>
        </w:rPr>
      </w:pPr>
      <w:r>
        <w:rPr>
          <w:rFonts w:ascii="Times New Roman" w:hAnsi="Times New Roman" w:eastAsia="Symbol" w:cs="Times New Roman"/>
          <w:b/>
          <w:bCs/>
          <w:sz w:val="14"/>
          <w:szCs w:val="14"/>
        </w:rPr>
        <w:t>                                                                                                                                                                                                     </w:t>
      </w:r>
    </w:p>
    <w:p>
      <w:pPr>
        <w:spacing w:before="100" w:beforeAutospacing="1" w:after="100" w:afterAutospacing="1" w:line="240" w:lineRule="auto"/>
        <w:ind w:firstLine="420"/>
        <w:jc w:val="both"/>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 </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b/>
          <w:bCs/>
          <w:sz w:val="27"/>
          <w:szCs w:val="27"/>
        </w:rPr>
        <w:t>                                                        Нормативные источники и методички:</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"https://school143.edusite.ru/DswMedia/federal-nyiyzakonot25iyulya2002gn114-fz.pdf" \t "_blank" </w:instrText>
      </w:r>
      <w:r>
        <w:fldChar w:fldCharType="separate"/>
      </w:r>
      <w:r>
        <w:rPr>
          <w:rFonts w:ascii="Times New Roman" w:hAnsi="Times New Roman" w:eastAsia="Times New Roman" w:cs="Times New Roman"/>
          <w:b/>
          <w:bCs/>
          <w:color w:val="60879C"/>
          <w:sz w:val="24"/>
          <w:szCs w:val="24"/>
          <w:u w:val="single"/>
        </w:rPr>
        <w:t>1.Федеральный закон от 25 июля 2002 г. N 114-ФЗ "О противодействии экстремистской деятельности"</w:t>
      </w:r>
      <w:r>
        <w:rPr>
          <w:rFonts w:ascii="Times New Roman" w:hAnsi="Times New Roman" w:eastAsia="Times New Roman" w:cs="Times New Roman"/>
          <w:b/>
          <w:bCs/>
          <w:color w:val="60879C"/>
          <w:sz w:val="24"/>
          <w:szCs w:val="24"/>
          <w:u w:val="single"/>
        </w:rPr>
        <w:fldChar w:fldCharType="end"/>
      </w:r>
      <w:r>
        <w:rPr>
          <w:rFonts w:ascii="Times New Roman" w:hAnsi="Times New Roman" w:eastAsia="Times New Roman" w:cs="Times New Roman"/>
          <w:color w:val="000000"/>
          <w:sz w:val="24"/>
          <w:szCs w:val="24"/>
        </w:rPr>
        <w:t>;</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2.</w:t>
      </w:r>
      <w:r>
        <w:fldChar w:fldCharType="begin"/>
      </w:r>
      <w:r>
        <w:instrText xml:space="preserve"> HYPERLINK "https://school143.edusite.ru/DswMedia/federal-nyiyzakonot24072007n211-fzovneseniiizmeneniyvotdel-nyiezakonodatel-nyieaktyi.pdf" \t "_blank" </w:instrText>
      </w:r>
      <w:r>
        <w:fldChar w:fldCharType="separate"/>
      </w:r>
      <w:r>
        <w:rPr>
          <w:rFonts w:ascii="Times New Roman" w:hAnsi="Times New Roman" w:eastAsia="Times New Roman" w:cs="Times New Roman"/>
          <w:b/>
          <w:bCs/>
          <w:color w:val="60879C"/>
          <w:sz w:val="24"/>
          <w:szCs w:val="24"/>
          <w:u w:val="single"/>
        </w:rPr>
        <w:t xml:space="preserve">Федеральный закон </w:t>
      </w:r>
      <w:r>
        <w:rPr>
          <w:rFonts w:ascii="Times New Roman" w:hAnsi="Times New Roman" w:eastAsia="Times New Roman" w:cs="Times New Roman"/>
          <w:b/>
          <w:bCs/>
          <w:color w:val="60879C"/>
          <w:kern w:val="36"/>
          <w:sz w:val="24"/>
          <w:szCs w:val="24"/>
          <w:u w:val="single"/>
        </w:rPr>
        <w:t>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r>
        <w:rPr>
          <w:rFonts w:ascii="Times New Roman" w:hAnsi="Times New Roman" w:eastAsia="Times New Roman" w:cs="Times New Roman"/>
          <w:b/>
          <w:bCs/>
          <w:color w:val="60879C"/>
          <w:kern w:val="36"/>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"https://school143.edusite.ru/DswMedia/ukazprezidentarfomeraxpoobespecheniyusoglasovannyixdeystviyorganovgosudarstvennoyvlastivbor-besproyavleniyamifashizmaiinyixformpoliticheskogoyekstremizmavrf.pdf" \t "_blank" </w:instrText>
      </w:r>
      <w:r>
        <w:fldChar w:fldCharType="separate"/>
      </w:r>
      <w:r>
        <w:rPr>
          <w:rFonts w:ascii="Times New Roman" w:hAnsi="Times New Roman" w:eastAsia="Times New Roman" w:cs="Times New Roman"/>
          <w:b/>
          <w:bCs/>
          <w:color w:val="60879C"/>
          <w:sz w:val="24"/>
          <w:szCs w:val="24"/>
          <w:u w:val="single"/>
        </w:rPr>
        <w:t>3. 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Pr>
          <w:rFonts w:ascii="Times New Roman" w:hAnsi="Times New Roman" w:eastAsia="Times New Roman" w:cs="Times New Roman"/>
          <w:b/>
          <w:bCs/>
          <w:color w:val="60879C"/>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"https://school143.edusite.ru/DswMedia/strategiyaprotivodeystviyayekstremizmuvrossiyskoyfederaciido2025goda.pdf" \t "_blank" </w:instrText>
      </w:r>
      <w:r>
        <w:fldChar w:fldCharType="separate"/>
      </w:r>
      <w:r>
        <w:rPr>
          <w:rFonts w:ascii="Times New Roman" w:hAnsi="Times New Roman" w:eastAsia="Times New Roman" w:cs="Times New Roman"/>
          <w:b/>
          <w:bCs/>
          <w:color w:val="60879C"/>
          <w:sz w:val="24"/>
          <w:szCs w:val="24"/>
          <w:u w:val="single"/>
        </w:rPr>
        <w:t>4. С</w:t>
      </w:r>
      <w:r>
        <w:rPr>
          <w:rFonts w:ascii="Times New Roman" w:hAnsi="Times New Roman" w:eastAsia="Times New Roman" w:cs="Times New Roman"/>
          <w:b/>
          <w:bCs/>
          <w:color w:val="60879C"/>
          <w:sz w:val="24"/>
          <w:szCs w:val="24"/>
          <w:u w:val="single"/>
        </w:rPr>
        <w:fldChar w:fldCharType="end"/>
      </w:r>
      <w:r>
        <w:fldChar w:fldCharType="begin"/>
      </w:r>
      <w:r>
        <w:instrText xml:space="preserve"> HYPERLINK "https://school143.edusite.ru/DswMedia/strategiyaprotivodeystviyayekstremizmuvrossiyskoyfederaciido2025goda.pdf" \t "_blank" </w:instrText>
      </w:r>
      <w:r>
        <w:fldChar w:fldCharType="separate"/>
      </w:r>
      <w:r>
        <w:rPr>
          <w:rFonts w:ascii="Times New Roman" w:hAnsi="Times New Roman" w:eastAsia="Times New Roman" w:cs="Times New Roman"/>
          <w:b/>
          <w:bCs/>
          <w:color w:val="60879C"/>
          <w:sz w:val="24"/>
          <w:szCs w:val="24"/>
          <w:u w:val="single"/>
        </w:rPr>
        <w:t>тратегия противодействия экстремизму в Российской Федерации до 2025 года</w:t>
      </w:r>
      <w:r>
        <w:rPr>
          <w:rFonts w:ascii="Times New Roman" w:hAnsi="Times New Roman" w:eastAsia="Times New Roman" w:cs="Times New Roman"/>
          <w:b/>
          <w:bCs/>
          <w:color w:val="60879C"/>
          <w:sz w:val="24"/>
          <w:szCs w:val="24"/>
          <w:u w:val="single"/>
        </w:rPr>
        <w:fldChar w:fldCharType="end"/>
      </w:r>
      <w:r>
        <w:rPr>
          <w:rFonts w:ascii="Times New Roman" w:hAnsi="Times New Roman" w:eastAsia="Times New Roman" w:cs="Times New Roman"/>
          <w:color w:val="000000"/>
          <w:sz w:val="24"/>
          <w:szCs w:val="24"/>
        </w:rPr>
        <w:t>;</w:t>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"https://school143.edusite.ru/DswMedia/metodicheskierekomendacii.pdf" \t "_blank" </w:instrText>
      </w:r>
      <w:r>
        <w:fldChar w:fldCharType="separate"/>
      </w:r>
      <w:r>
        <w:rPr>
          <w:rFonts w:ascii="Times New Roman" w:hAnsi="Times New Roman" w:eastAsia="Times New Roman" w:cs="Times New Roman"/>
          <w:b/>
          <w:bCs/>
          <w:color w:val="60879C"/>
          <w:sz w:val="24"/>
          <w:szCs w:val="24"/>
          <w:u w:val="single"/>
        </w:rPr>
        <w:t>5.  </w:t>
      </w:r>
      <w:r>
        <w:rPr>
          <w:rFonts w:ascii="Times New Roman" w:hAnsi="Times New Roman" w:eastAsia="Times New Roman" w:cs="Times New Roman"/>
          <w:b/>
          <w:color w:val="60879C"/>
          <w:sz w:val="24"/>
          <w:szCs w:val="24"/>
          <w:u w:val="single"/>
        </w:rPr>
        <w:t>Методические рекомендации по профилактике и противодействию экстремизму в молодежной среде;</w:t>
      </w:r>
      <w:r>
        <w:rPr>
          <w:rFonts w:ascii="Times New Roman" w:hAnsi="Times New Roman" w:eastAsia="Times New Roman" w:cs="Times New Roman"/>
          <w:b/>
          <w:color w:val="60879C"/>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"https://school143.edusite.ru/DswMedia/mrosovremennyixformaxrabotyisobuchayushaimisyaobrazovatel-nyixuchrejdeniypoprofilaktikeyekstremistskixproyavleniysredinesovershennoletnix.pdf" \t "_blank" </w:instrText>
      </w:r>
      <w:r>
        <w:fldChar w:fldCharType="separate"/>
      </w:r>
      <w:r>
        <w:rPr>
          <w:rFonts w:ascii="Times New Roman" w:hAnsi="Times New Roman" w:eastAsia="Times New Roman" w:cs="Times New Roman"/>
          <w:b/>
          <w:bCs/>
          <w:color w:val="60879C"/>
          <w:sz w:val="24"/>
          <w:szCs w:val="24"/>
          <w:u w:val="single"/>
        </w:rPr>
        <w:t xml:space="preserve">6.  </w:t>
      </w:r>
      <w:r>
        <w:rPr>
          <w:rFonts w:ascii="Times New Roman" w:hAnsi="Times New Roman" w:eastAsia="Times New Roman" w:cs="Times New Roman"/>
          <w:b/>
          <w:color w:val="60879C"/>
          <w:sz w:val="24"/>
          <w:szCs w:val="24"/>
          <w:u w:val="single"/>
        </w:rPr>
        <w:t>Методические рекомендации «О современных формах работы с обучающимися образовательных учреждений по профилактике экстремистских проявлений среди несовершеннолетних»;</w:t>
      </w:r>
      <w:r>
        <w:rPr>
          <w:rFonts w:ascii="Times New Roman" w:hAnsi="Times New Roman" w:eastAsia="Times New Roman" w:cs="Times New Roman"/>
          <w:b/>
          <w:color w:val="60879C"/>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"https://school143.edusite.ru/DswMedia/metodicheskiematerialyipoprofilaktikeproyavleniyyekstremizmavmolodejnoysrede2014.pdf" \t "_blank" </w:instrText>
      </w:r>
      <w:r>
        <w:fldChar w:fldCharType="separate"/>
      </w:r>
      <w:r>
        <w:rPr>
          <w:rFonts w:ascii="Times New Roman" w:hAnsi="Times New Roman" w:eastAsia="Times New Roman" w:cs="Times New Roman"/>
          <w:b/>
          <w:bCs/>
          <w:color w:val="60879C"/>
          <w:sz w:val="24"/>
          <w:szCs w:val="24"/>
          <w:u w:val="single"/>
        </w:rPr>
        <w:t>7. Методические материалы по профилактике экстремизма в молодежной среде (часть 1);</w:t>
      </w:r>
      <w:r>
        <w:rPr>
          <w:rFonts w:ascii="Times New Roman" w:hAnsi="Times New Roman" w:eastAsia="Times New Roman" w:cs="Times New Roman"/>
          <w:b/>
          <w:bCs/>
          <w:color w:val="60879C"/>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"https://school143.edusite.ru/DswMedia/2metodicheskiematerialyipoprofilaktikeproyavleniyyekstremizmavmolodejnoysrede2015.pdf" \t "_blank" </w:instrText>
      </w:r>
      <w:r>
        <w:fldChar w:fldCharType="separate"/>
      </w:r>
      <w:r>
        <w:rPr>
          <w:rFonts w:ascii="Times New Roman" w:hAnsi="Times New Roman" w:eastAsia="Times New Roman" w:cs="Times New Roman"/>
          <w:b/>
          <w:bCs/>
          <w:color w:val="60879C"/>
          <w:sz w:val="24"/>
          <w:szCs w:val="24"/>
          <w:u w:val="single"/>
        </w:rPr>
        <w:t>8. Методические материалы по профилактике экстремизма в молодежной среде (часть 2);</w:t>
      </w:r>
      <w:r>
        <w:rPr>
          <w:rFonts w:ascii="Times New Roman" w:hAnsi="Times New Roman" w:eastAsia="Times New Roman" w:cs="Times New Roman"/>
          <w:b/>
          <w:bCs/>
          <w:color w:val="60879C"/>
          <w:sz w:val="24"/>
          <w:szCs w:val="24"/>
          <w:u w:val="single"/>
        </w:rPr>
        <w:fldChar w:fldCharType="end"/>
      </w:r>
    </w:p>
    <w:p>
      <w:pPr>
        <w:spacing w:before="100" w:beforeAutospacing="1" w:after="100" w:afterAutospacing="1" w:line="240" w:lineRule="auto"/>
        <w:ind w:left="993" w:hanging="426"/>
        <w:contextualSpacing/>
        <w:jc w:val="both"/>
        <w:rPr>
          <w:rFonts w:ascii="Times New Roman" w:hAnsi="Times New Roman" w:eastAsia="Times New Roman" w:cs="Times New Roman"/>
          <w:sz w:val="24"/>
          <w:szCs w:val="24"/>
        </w:rPr>
      </w:pPr>
      <w:r>
        <w:fldChar w:fldCharType="begin"/>
      </w:r>
      <w:r>
        <w:instrText xml:space="preserve"> HYPERLINK "https://school143.edusite.ru/DswMedia/anketauchashaegosyaisocial-nogopedagoga.pdf" \t "_blank" </w:instrText>
      </w:r>
      <w:r>
        <w:fldChar w:fldCharType="separate"/>
      </w:r>
      <w:r>
        <w:rPr>
          <w:rFonts w:ascii="Times New Roman" w:hAnsi="Times New Roman" w:eastAsia="Times New Roman" w:cs="Times New Roman"/>
          <w:b/>
          <w:bCs/>
          <w:color w:val="60879C"/>
          <w:sz w:val="24"/>
          <w:szCs w:val="24"/>
          <w:u w:val="single"/>
        </w:rPr>
        <w:t>9. Анкета обучающегося по профилактике экстремизма и терроризма.</w:t>
      </w:r>
      <w:r>
        <w:rPr>
          <w:rFonts w:ascii="Times New Roman" w:hAnsi="Times New Roman" w:eastAsia="Times New Roman" w:cs="Times New Roman"/>
          <w:b/>
          <w:bCs/>
          <w:color w:val="60879C"/>
          <w:sz w:val="24"/>
          <w:szCs w:val="24"/>
          <w:u w:val="single"/>
        </w:rPr>
        <w:fldChar w:fldCharType="end"/>
      </w: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A2"/>
    <w:rsid w:val="002676A2"/>
    <w:rsid w:val="0035793C"/>
    <w:rsid w:val="004F604F"/>
    <w:rsid w:val="08BA52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ru-RU" w:bidi="ar-SA"/>
    </w:rPr>
  </w:style>
  <w:style w:type="character" w:default="1" w:styleId="3">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Emphasis"/>
    <w:basedOn w:val="3"/>
    <w:qFormat/>
    <w:uiPriority w:val="20"/>
    <w:rPr>
      <w:i/>
      <w:iCs/>
    </w:r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customStyle="1" w:styleId="8">
    <w:name w:val="1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5286</Words>
  <Characters>30133</Characters>
  <Lines>251</Lines>
  <Paragraphs>70</Paragraphs>
  <TotalTime>3</TotalTime>
  <ScaleCrop>false</ScaleCrop>
  <LinksUpToDate>false</LinksUpToDate>
  <CharactersWithSpaces>35349</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2019-03-04T05:17:00Z</dcterms:created>
  <dc:creator>Елена</dc:creator>
  <cp:lastModifiedBy>elex</cp:lastModifiedBy>
  <dcterms:modified xsi:type="dcterms:W3CDTF">2019-03-04T06:20:28Z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